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6C2FA2">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4139D35" w:rsidR="00F92268" w:rsidRPr="00FF66BF" w:rsidRDefault="00074E45" w:rsidP="006C2FA2">
            <w:pPr>
              <w:pStyle w:val="RefTableData"/>
            </w:pPr>
            <w:r w:rsidRPr="00074E45">
              <w:t>5699-A</w:t>
            </w:r>
          </w:p>
        </w:tc>
      </w:tr>
    </w:tbl>
    <w:p w14:paraId="74FBA5B4" w14:textId="77777777" w:rsidR="00051356" w:rsidRDefault="00051356" w:rsidP="006C2FA2">
      <w:pPr>
        <w:pStyle w:val="BodyText"/>
        <w:spacing w:after="0"/>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7D26D46" w:rsidR="004B15BB" w:rsidRPr="00EE134D" w:rsidRDefault="007A03C8" w:rsidP="007E5C16">
      <w:pPr>
        <w:pStyle w:val="Heading1"/>
      </w:pPr>
      <w:r w:rsidRPr="007A03C8">
        <w:t>Specialty Guideline Management</w:t>
      </w:r>
      <w:r w:rsidR="008C54D9" w:rsidRPr="00BD1CC1">
        <w:br/>
      </w:r>
      <w:proofErr w:type="spellStart"/>
      <w:r w:rsidRPr="007A03C8">
        <w:t>Krazati</w:t>
      </w:r>
      <w:proofErr w:type="spellEnd"/>
    </w:p>
    <w:p w14:paraId="78861C92" w14:textId="05027AD2" w:rsidR="00203468" w:rsidRPr="00BD1CC1" w:rsidRDefault="00C64534" w:rsidP="008E0F0D">
      <w:pPr>
        <w:pStyle w:val="Heading2"/>
      </w:pPr>
      <w:r w:rsidRPr="00BD1CC1">
        <w:t xml:space="preserve">Products Referenced by this </w:t>
      </w:r>
      <w:r w:rsidR="00501602" w:rsidRPr="00BD1CC1">
        <w:t>Document</w:t>
      </w:r>
    </w:p>
    <w:p w14:paraId="5455152B" w14:textId="0807254D"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F879E3">
        <w:t>-</w:t>
      </w:r>
      <w:r w:rsidR="00CB29B2" w:rsidRPr="00CB29B2">
        <w:t>the</w:t>
      </w:r>
      <w:r w:rsidR="00F879E3">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64A811E4" w:rsidR="005B4D7C" w:rsidRPr="00BD1CC1" w:rsidRDefault="006459DE">
            <w:pPr>
              <w:pStyle w:val="TableDataUnpadded"/>
            </w:pPr>
            <w:proofErr w:type="spellStart"/>
            <w:r w:rsidRPr="006459DE">
              <w:t>Krazati</w:t>
            </w:r>
            <w:proofErr w:type="spellEnd"/>
          </w:p>
        </w:tc>
        <w:tc>
          <w:tcPr>
            <w:tcW w:w="5595" w:type="dxa"/>
          </w:tcPr>
          <w:p w14:paraId="1A09710D" w14:textId="19107D67" w:rsidR="005B4D7C" w:rsidRPr="00BD1CC1" w:rsidRDefault="006459DE">
            <w:pPr>
              <w:pStyle w:val="TableDataUnpadded"/>
            </w:pPr>
            <w:proofErr w:type="spellStart"/>
            <w:r w:rsidRPr="006459DE">
              <w:t>adagrasib</w:t>
            </w:r>
            <w:proofErr w:type="spellEnd"/>
          </w:p>
        </w:tc>
      </w:tr>
    </w:tbl>
    <w:p w14:paraId="14CE6108" w14:textId="3989E79C" w:rsidR="00FC1AAD" w:rsidRDefault="00ED052F" w:rsidP="00AA2A94">
      <w:pPr>
        <w:pStyle w:val="Heading2"/>
        <w:tabs>
          <w:tab w:val="left" w:pos="9540"/>
        </w:tabs>
      </w:pPr>
      <w:r>
        <w:t>Indications</w:t>
      </w:r>
    </w:p>
    <w:p w14:paraId="6C4F4FB5" w14:textId="5884C64F" w:rsidR="00015149" w:rsidRPr="00015149" w:rsidRDefault="00015149" w:rsidP="00015149">
      <w:pPr>
        <w:pStyle w:val="BodyText"/>
      </w:pPr>
      <w:r w:rsidRPr="00015149">
        <w:t>The indications below including FDA-approved indications and compendial uses are considered a covered benefit provided that all the approval criteria are met and the member has no exclusions to the prescribed therapy.</w:t>
      </w:r>
    </w:p>
    <w:p w14:paraId="134B5687" w14:textId="450583D8" w:rsidR="00ED052F" w:rsidRPr="00BD1CC1" w:rsidRDefault="00ED052F" w:rsidP="00ED052F">
      <w:pPr>
        <w:pStyle w:val="Heading3"/>
        <w:keepNext w:val="0"/>
      </w:pPr>
      <w:r w:rsidRPr="00BD1CC1">
        <w:t>FDA-approved Indications</w:t>
      </w:r>
    </w:p>
    <w:p w14:paraId="552506DA" w14:textId="77777777" w:rsidR="00015149" w:rsidRPr="00015149" w:rsidRDefault="00015149" w:rsidP="00015149">
      <w:pPr>
        <w:pStyle w:val="ListParagraph"/>
      </w:pPr>
      <w:proofErr w:type="spellStart"/>
      <w:r w:rsidRPr="00015149">
        <w:t>Krazati</w:t>
      </w:r>
      <w:proofErr w:type="spellEnd"/>
      <w:r w:rsidRPr="00015149">
        <w:t xml:space="preserve"> is indicated as a single agent for the treatment of adult patients with Kirsten rat sarcoma (KRAS) G12C-mutated locally advanced or metastatic non-small cell lung cancer (NSCLC), as determined by an FDA approved test, who have received at least one prior systemic therapy.</w:t>
      </w:r>
    </w:p>
    <w:p w14:paraId="0884B9B5" w14:textId="77777777" w:rsidR="00015149" w:rsidRPr="00015149" w:rsidRDefault="00015149" w:rsidP="00015149">
      <w:pPr>
        <w:pStyle w:val="ListParagraph"/>
      </w:pPr>
      <w:proofErr w:type="spellStart"/>
      <w:r w:rsidRPr="00015149">
        <w:t>Krazati</w:t>
      </w:r>
      <w:proofErr w:type="spellEnd"/>
      <w:r w:rsidRPr="00015149">
        <w:t xml:space="preserve"> is indicated in combination with cetuximab for the treatment of adult patients with KRAS G12C-mutated locally advanced or metastatic colorectal cancer (CRC), as determined by an FDA-approved test, who have received prior treatment with fluoropyrimidine-, oxaliplatin-, and irinotecan-based chemotherapy.</w:t>
      </w:r>
    </w:p>
    <w:p w14:paraId="4C11EDD2" w14:textId="7A724ECD" w:rsidR="00ED052F" w:rsidRPr="00ED012B" w:rsidRDefault="00015149" w:rsidP="00015149">
      <w:pPr>
        <w:pStyle w:val="Heading3"/>
      </w:pPr>
      <w:r w:rsidRPr="00015149">
        <w:t>Compendial Uses</w:t>
      </w:r>
    </w:p>
    <w:p w14:paraId="7780ACA1" w14:textId="77777777" w:rsidR="00015149" w:rsidRPr="00015149" w:rsidRDefault="00015149" w:rsidP="00C765A7">
      <w:pPr>
        <w:pStyle w:val="ListParagraph"/>
        <w:numPr>
          <w:ilvl w:val="0"/>
          <w:numId w:val="35"/>
        </w:numPr>
      </w:pPr>
      <w:r w:rsidRPr="00015149">
        <w:t>Non-small cell lung cancer</w:t>
      </w:r>
    </w:p>
    <w:p w14:paraId="1E6B8EE8" w14:textId="77777777" w:rsidR="00015149" w:rsidRPr="00015149" w:rsidRDefault="00015149" w:rsidP="00C765A7">
      <w:pPr>
        <w:pStyle w:val="ListParagraph"/>
        <w:numPr>
          <w:ilvl w:val="0"/>
          <w:numId w:val="35"/>
        </w:numPr>
      </w:pPr>
      <w:r w:rsidRPr="00015149">
        <w:t>Pancreatic adenocarcinoma</w:t>
      </w:r>
    </w:p>
    <w:p w14:paraId="1F561BD9" w14:textId="77777777" w:rsidR="00015149" w:rsidRPr="00015149" w:rsidRDefault="00015149" w:rsidP="00C765A7">
      <w:pPr>
        <w:pStyle w:val="ListParagraph"/>
        <w:numPr>
          <w:ilvl w:val="0"/>
          <w:numId w:val="35"/>
        </w:numPr>
      </w:pPr>
      <w:r w:rsidRPr="00015149">
        <w:t>Colorectal cancer</w:t>
      </w:r>
    </w:p>
    <w:p w14:paraId="457704D6" w14:textId="77777777" w:rsidR="00015149" w:rsidRPr="00015149" w:rsidRDefault="00015149" w:rsidP="00C765A7">
      <w:pPr>
        <w:pStyle w:val="ListParagraph"/>
        <w:numPr>
          <w:ilvl w:val="0"/>
          <w:numId w:val="35"/>
        </w:numPr>
      </w:pPr>
      <w:r w:rsidRPr="00015149">
        <w:t>Ampullary adenocarcinoma</w:t>
      </w:r>
    </w:p>
    <w:p w14:paraId="020157A5" w14:textId="77777777" w:rsidR="00015149" w:rsidRDefault="00015149" w:rsidP="00C765A7">
      <w:pPr>
        <w:pStyle w:val="ListParagraph"/>
        <w:numPr>
          <w:ilvl w:val="0"/>
          <w:numId w:val="35"/>
        </w:numPr>
      </w:pPr>
      <w:r w:rsidRPr="00015149">
        <w:lastRenderedPageBreak/>
        <w:t>Biliary tract cancers</w:t>
      </w:r>
    </w:p>
    <w:p w14:paraId="58C15616" w14:textId="0C106C60" w:rsidR="00015149" w:rsidRPr="00015149" w:rsidRDefault="00015149" w:rsidP="00015149">
      <w:pPr>
        <w:pStyle w:val="BodyText"/>
      </w:pPr>
      <w:r w:rsidRPr="00015149">
        <w:t>All other indications are considered experimental/investigational and not medically necessary.</w:t>
      </w:r>
    </w:p>
    <w:p w14:paraId="36381B6D" w14:textId="0A494182" w:rsidR="000D2496" w:rsidRPr="00BD1CC1" w:rsidRDefault="000D2496" w:rsidP="000D2496">
      <w:pPr>
        <w:pStyle w:val="Heading2"/>
      </w:pPr>
      <w:r w:rsidRPr="00BD1CC1">
        <w:t>Documentation</w:t>
      </w:r>
    </w:p>
    <w:p w14:paraId="5504B30B" w14:textId="77777777" w:rsidR="00015149" w:rsidRPr="00015149" w:rsidRDefault="00015149" w:rsidP="00015149">
      <w:pPr>
        <w:pStyle w:val="BodyText"/>
      </w:pPr>
      <w:r w:rsidRPr="00015149">
        <w:t>Submission of the following information is necessary to initiate the prior authorization review:</w:t>
      </w:r>
    </w:p>
    <w:p w14:paraId="30559692" w14:textId="5293D086" w:rsidR="00015149" w:rsidRPr="00015149" w:rsidRDefault="00015149" w:rsidP="00015149">
      <w:pPr>
        <w:pStyle w:val="BodyText"/>
      </w:pPr>
      <w:r w:rsidRPr="00015149">
        <w:t>Documentation of the presence of KRAS G12C mutation</w:t>
      </w:r>
    </w:p>
    <w:p w14:paraId="50A38FBA" w14:textId="405E4E51" w:rsidR="00FE0C63" w:rsidRDefault="00685107" w:rsidP="00E050E1">
      <w:pPr>
        <w:pStyle w:val="Heading2"/>
      </w:pPr>
      <w:r>
        <w:t>Coverage Criteria</w:t>
      </w:r>
    </w:p>
    <w:p w14:paraId="3971585D" w14:textId="550BBC2F" w:rsidR="004871EB" w:rsidRPr="004871EB" w:rsidRDefault="004871EB" w:rsidP="004871EB">
      <w:pPr>
        <w:pStyle w:val="Heading3"/>
        <w:rPr>
          <w:vertAlign w:val="superscript"/>
        </w:rPr>
      </w:pPr>
      <w:r w:rsidRPr="004871EB">
        <w:t>NSCLC</w:t>
      </w:r>
    </w:p>
    <w:p w14:paraId="677C38EA" w14:textId="77777777" w:rsidR="004871EB" w:rsidRPr="004871EB" w:rsidRDefault="004871EB" w:rsidP="004871EB">
      <w:pPr>
        <w:pStyle w:val="BodyText"/>
      </w:pPr>
      <w:r w:rsidRPr="004871EB">
        <w:t>Authorization of 12 months may be granted for treatment of recurrent, advanced, or metastatic KRAS G12C mutation positive NSCLC as a single agent when either of the following criteria are met:</w:t>
      </w:r>
    </w:p>
    <w:p w14:paraId="04786C02" w14:textId="77777777" w:rsidR="004871EB" w:rsidRPr="004871EB" w:rsidRDefault="004871EB" w:rsidP="00C765A7">
      <w:pPr>
        <w:pStyle w:val="ListParagraph"/>
        <w:numPr>
          <w:ilvl w:val="0"/>
          <w:numId w:val="36"/>
        </w:numPr>
      </w:pPr>
      <w:r w:rsidRPr="004871EB">
        <w:t>The member has received at least one prior systemic therapy and has not experienced disease progression on KRAS G12C-targeted therapy</w:t>
      </w:r>
    </w:p>
    <w:p w14:paraId="1AD43E3A" w14:textId="77777777" w:rsidR="004871EB" w:rsidRPr="004871EB" w:rsidRDefault="004871EB" w:rsidP="00C765A7">
      <w:pPr>
        <w:pStyle w:val="ListParagraph"/>
        <w:numPr>
          <w:ilvl w:val="0"/>
          <w:numId w:val="36"/>
        </w:numPr>
      </w:pPr>
      <w:r w:rsidRPr="004871EB">
        <w:t>The member has brain metastases</w:t>
      </w:r>
    </w:p>
    <w:p w14:paraId="5E357792" w14:textId="5F7E3629" w:rsidR="00C22F9B" w:rsidRPr="004871EB" w:rsidRDefault="004871EB" w:rsidP="004871EB">
      <w:pPr>
        <w:pStyle w:val="Heading3"/>
      </w:pPr>
      <w:r w:rsidRPr="004871EB">
        <w:t>Pancreatic Adenocarcinoma</w:t>
      </w:r>
    </w:p>
    <w:p w14:paraId="443905D6" w14:textId="682B59BF" w:rsidR="00C22F9B" w:rsidRPr="004871EB" w:rsidRDefault="004871EB" w:rsidP="004871EB">
      <w:pPr>
        <w:pStyle w:val="BodyText"/>
      </w:pPr>
      <w:r w:rsidRPr="004871EB">
        <w:t>Authorization of 12 months may be granted for treatment of recurrent, locally advanced or metastatic pancreatic adenocarcinoma when all of the following criteria are met:</w:t>
      </w:r>
    </w:p>
    <w:p w14:paraId="42E8217B" w14:textId="148C594D" w:rsidR="004871EB" w:rsidRPr="004871EB" w:rsidRDefault="004871EB" w:rsidP="00C765A7">
      <w:pPr>
        <w:pStyle w:val="ListParagraph"/>
        <w:numPr>
          <w:ilvl w:val="0"/>
          <w:numId w:val="37"/>
        </w:numPr>
      </w:pPr>
      <w:r w:rsidRPr="004871EB">
        <w:t>The tumor or plasma specimen is positive for the KRAS G12C mutation</w:t>
      </w:r>
    </w:p>
    <w:p w14:paraId="5E5945D2" w14:textId="77777777" w:rsidR="004871EB" w:rsidRPr="004871EB" w:rsidRDefault="004871EB" w:rsidP="00C765A7">
      <w:pPr>
        <w:pStyle w:val="ListParagraph"/>
        <w:numPr>
          <w:ilvl w:val="0"/>
          <w:numId w:val="37"/>
        </w:numPr>
      </w:pPr>
      <w:r w:rsidRPr="004871EB">
        <w:t>Member has an Eastern Cooperative Oncology Group (ECOG) performance status of 0-2</w:t>
      </w:r>
    </w:p>
    <w:p w14:paraId="21D876D6" w14:textId="77777777" w:rsidR="004871EB" w:rsidRDefault="004871EB" w:rsidP="00C765A7">
      <w:pPr>
        <w:pStyle w:val="ListParagraph"/>
        <w:numPr>
          <w:ilvl w:val="0"/>
          <w:numId w:val="37"/>
        </w:numPr>
      </w:pPr>
      <w:r w:rsidRPr="004871EB">
        <w:t>The requested medication will be used as a single agent.</w:t>
      </w:r>
    </w:p>
    <w:p w14:paraId="2CA21279" w14:textId="2A823028" w:rsidR="004871EB" w:rsidRPr="004871EB" w:rsidRDefault="004871EB" w:rsidP="004871EB">
      <w:pPr>
        <w:pStyle w:val="Heading3"/>
      </w:pPr>
      <w:r w:rsidRPr="004871EB">
        <w:t>Colorectal Cancer</w:t>
      </w:r>
    </w:p>
    <w:p w14:paraId="56997AF7" w14:textId="77777777" w:rsidR="004871EB" w:rsidRPr="004871EB" w:rsidRDefault="004871EB" w:rsidP="004871EB">
      <w:pPr>
        <w:pStyle w:val="BodyText"/>
      </w:pPr>
      <w:r w:rsidRPr="004871EB">
        <w:t>Authorization of 12 months may be granted for treatment of advanced or metastatic colorectal cancer, including appendiceal adenocarcinoma and anal adenocarcinoma, when all of the following criteria are met:</w:t>
      </w:r>
    </w:p>
    <w:p w14:paraId="590F2B13" w14:textId="77777777" w:rsidR="004871EB" w:rsidRPr="004871EB" w:rsidRDefault="004871EB" w:rsidP="00C765A7">
      <w:pPr>
        <w:pStyle w:val="ListParagraph"/>
        <w:numPr>
          <w:ilvl w:val="0"/>
          <w:numId w:val="38"/>
        </w:numPr>
      </w:pPr>
      <w:r w:rsidRPr="004871EB">
        <w:t>The tumor or plasma specimen is positive for the KRAS G12C mutation.</w:t>
      </w:r>
    </w:p>
    <w:p w14:paraId="35F44D79" w14:textId="77777777" w:rsidR="004871EB" w:rsidRPr="004871EB" w:rsidRDefault="004871EB" w:rsidP="00C765A7">
      <w:pPr>
        <w:pStyle w:val="ListParagraph"/>
        <w:numPr>
          <w:ilvl w:val="0"/>
          <w:numId w:val="38"/>
        </w:numPr>
      </w:pPr>
      <w:r w:rsidRPr="004871EB">
        <w:t>The requested medication will be used as a single agent, or in combination with cetuximab (Erbitux) or panitumumab (Vectibix).</w:t>
      </w:r>
    </w:p>
    <w:p w14:paraId="784CDF10" w14:textId="77777777" w:rsidR="004871EB" w:rsidRPr="004871EB" w:rsidRDefault="004871EB" w:rsidP="00C765A7">
      <w:pPr>
        <w:pStyle w:val="ListParagraph"/>
        <w:numPr>
          <w:ilvl w:val="0"/>
          <w:numId w:val="38"/>
        </w:numPr>
      </w:pPr>
      <w:r w:rsidRPr="004871EB">
        <w:t>The member previously received treatment with chemotherapy.</w:t>
      </w:r>
    </w:p>
    <w:p w14:paraId="0CC74F73" w14:textId="25297D12" w:rsidR="004871EB" w:rsidRPr="004871EB" w:rsidRDefault="004871EB" w:rsidP="004871EB">
      <w:pPr>
        <w:pStyle w:val="Heading3"/>
      </w:pPr>
      <w:r w:rsidRPr="004871EB">
        <w:t>Ampullary Adenocarcinoma</w:t>
      </w:r>
    </w:p>
    <w:p w14:paraId="553F9AC2" w14:textId="77777777" w:rsidR="004871EB" w:rsidRPr="004871EB" w:rsidRDefault="004871EB" w:rsidP="004871EB">
      <w:pPr>
        <w:pStyle w:val="BodyText"/>
      </w:pPr>
      <w:r w:rsidRPr="004871EB">
        <w:t>Authorization of 12 months may be granted for treatment of progressive ampullary adenocarcinoma when both of the following criteria are met:</w:t>
      </w:r>
    </w:p>
    <w:p w14:paraId="0420F639" w14:textId="77777777" w:rsidR="004871EB" w:rsidRPr="004871EB" w:rsidRDefault="004871EB" w:rsidP="00C765A7">
      <w:pPr>
        <w:pStyle w:val="ListParagraph"/>
        <w:numPr>
          <w:ilvl w:val="0"/>
          <w:numId w:val="39"/>
        </w:numPr>
      </w:pPr>
      <w:r w:rsidRPr="004871EB">
        <w:t>The requested medication will be used as a single agent.</w:t>
      </w:r>
    </w:p>
    <w:p w14:paraId="7F9291D7" w14:textId="77777777" w:rsidR="004871EB" w:rsidRPr="004871EB" w:rsidRDefault="004871EB" w:rsidP="00C765A7">
      <w:pPr>
        <w:pStyle w:val="ListParagraph"/>
        <w:numPr>
          <w:ilvl w:val="0"/>
          <w:numId w:val="39"/>
        </w:numPr>
      </w:pPr>
      <w:r w:rsidRPr="004871EB">
        <w:t>The tumor or plasma specimen is positive for the KRAS G12C mutation.</w:t>
      </w:r>
    </w:p>
    <w:p w14:paraId="3D5BCBDD" w14:textId="7B5FCC31" w:rsidR="004871EB" w:rsidRPr="004871EB" w:rsidRDefault="004871EB" w:rsidP="004871EB">
      <w:pPr>
        <w:pStyle w:val="Heading3"/>
      </w:pPr>
      <w:r w:rsidRPr="004871EB">
        <w:t>Biliary Tract Cancers</w:t>
      </w:r>
    </w:p>
    <w:p w14:paraId="05A8C48A" w14:textId="246145BA" w:rsidR="004871EB" w:rsidRPr="004871EB" w:rsidRDefault="004871EB" w:rsidP="004871EB">
      <w:pPr>
        <w:pStyle w:val="BodyText"/>
      </w:pPr>
      <w:r w:rsidRPr="004871EB">
        <w:t>Authorization of 12 months may be granted for subsequent treatment of unresectable, resected gross residual (R2), or metastatic biliary tract cancers (including intrahepatic and extrahepatic cholangiocarcinoma and gallbladder cancer), when both of the following criteria are met:</w:t>
      </w:r>
    </w:p>
    <w:p w14:paraId="3688A126" w14:textId="77777777" w:rsidR="004871EB" w:rsidRPr="004871EB" w:rsidRDefault="004871EB" w:rsidP="005C4915">
      <w:pPr>
        <w:pStyle w:val="ListParagraph"/>
        <w:numPr>
          <w:ilvl w:val="0"/>
          <w:numId w:val="40"/>
        </w:numPr>
      </w:pPr>
      <w:r w:rsidRPr="004871EB">
        <w:t>The requested medication will be used as a single agent.</w:t>
      </w:r>
    </w:p>
    <w:p w14:paraId="329AFF6E" w14:textId="77777777" w:rsidR="004871EB" w:rsidRPr="004871EB" w:rsidRDefault="004871EB" w:rsidP="005C4915">
      <w:pPr>
        <w:pStyle w:val="ListParagraph"/>
        <w:numPr>
          <w:ilvl w:val="0"/>
          <w:numId w:val="40"/>
        </w:numPr>
      </w:pPr>
      <w:r w:rsidRPr="004871EB">
        <w:t>The tumor or plasma specimen is positive for the KRAS G12C mutation.</w:t>
      </w:r>
    </w:p>
    <w:p w14:paraId="3A643EC3" w14:textId="172BD804" w:rsidR="00A501AC" w:rsidRPr="00BD1CC1" w:rsidRDefault="00A501AC" w:rsidP="00A501AC">
      <w:pPr>
        <w:pStyle w:val="Heading2"/>
      </w:pPr>
      <w:r w:rsidRPr="00BD1CC1">
        <w:t>Continuation of Therapy</w:t>
      </w:r>
    </w:p>
    <w:p w14:paraId="5177972C" w14:textId="77777777" w:rsidR="00162406" w:rsidRDefault="00E33789" w:rsidP="00E33789">
      <w:pPr>
        <w:pStyle w:val="BodyText"/>
      </w:pPr>
      <w:r w:rsidRPr="00E33789">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354A2DB8" w:rsidR="00FF66BF" w:rsidRPr="008D1B34"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2F9A91D9" w14:textId="77777777" w:rsidR="00205F14" w:rsidRPr="00205F14" w:rsidRDefault="00205F14" w:rsidP="00205F14">
      <w:pPr>
        <w:pStyle w:val="ReferenceOrdered"/>
      </w:pPr>
      <w:proofErr w:type="spellStart"/>
      <w:r w:rsidRPr="00205F14">
        <w:t>Krazati</w:t>
      </w:r>
      <w:proofErr w:type="spellEnd"/>
      <w:r w:rsidRPr="00205F14">
        <w:t xml:space="preserve"> [package insert]. San Diego, CA: Mirati Therapeutics, Inc.; June 2024.</w:t>
      </w:r>
    </w:p>
    <w:p w14:paraId="57D9EC6D" w14:textId="77777777" w:rsidR="00205F14" w:rsidRPr="00205F14" w:rsidRDefault="00205F14" w:rsidP="00205F14">
      <w:pPr>
        <w:pStyle w:val="ReferenceOrdered"/>
      </w:pPr>
      <w:r w:rsidRPr="00205F14">
        <w:t>The NCCN Drugs &amp; Biologics Compendium</w:t>
      </w:r>
      <w:r w:rsidRPr="001D5776">
        <w:t>®</w:t>
      </w:r>
      <w:r w:rsidRPr="00205F14">
        <w:t xml:space="preserve"> © 2024 National Comprehensive Cancer Network, Inc. https://www.nccn.org. Accessed July 8, 2024.</w:t>
      </w:r>
    </w:p>
    <w:p w14:paraId="5E4FED15" w14:textId="77777777" w:rsidR="00205F14" w:rsidRPr="00205F14" w:rsidRDefault="00205F14" w:rsidP="00205F14">
      <w:pPr>
        <w:pStyle w:val="ReferenceOrdered"/>
      </w:pPr>
      <w:r w:rsidRPr="00205F14">
        <w:t>NCCN Clinical Practice Guidelines in Oncology (NCCN Guidelines): Colon Cancer. Version 4.2024. Accessed July 8, 2024. https://www.nccn.org/professionals/physician_gls/pdf/colon.pdf</w:t>
      </w:r>
    </w:p>
    <w:p w14:paraId="47E1A10C" w14:textId="3B88EDF5" w:rsidR="00C44990" w:rsidRPr="00AD3CF3" w:rsidRDefault="00205F14" w:rsidP="00AD3CF3">
      <w:pPr>
        <w:pStyle w:val="ReferenceOrdered"/>
      </w:pPr>
      <w:r w:rsidRPr="00205F14">
        <w:t>NCCN Clinical Practice Guidelines in Oncology (NCCN Guidelines): Anal Carcinoma. Version 1.2024. Accessed July 8, 2024. https://www.nccn.org/professionals/physician_gls/pdf/anal.pdf</w:t>
      </w:r>
    </w:p>
    <w:sectPr w:rsidR="00C44990" w:rsidRPr="00AD3CF3"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8CD84" w14:textId="77777777" w:rsidR="001B5798" w:rsidRDefault="001B5798">
      <w:r>
        <w:separator/>
      </w:r>
    </w:p>
  </w:endnote>
  <w:endnote w:type="continuationSeparator" w:id="0">
    <w:p w14:paraId="11ED227D" w14:textId="77777777" w:rsidR="001B5798" w:rsidRDefault="001B5798">
      <w:r>
        <w:continuationSeparator/>
      </w:r>
    </w:p>
  </w:endnote>
  <w:endnote w:type="continuationNotice" w:id="1">
    <w:p w14:paraId="24A1C4D9" w14:textId="77777777" w:rsidR="001B5798" w:rsidRDefault="001B57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85B16C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C243A" w:rsidRPr="00CC243A">
      <w:rPr>
        <w:rFonts w:cs="Arial"/>
        <w:noProof/>
        <w:sz w:val="16"/>
        <w:szCs w:val="16"/>
      </w:rPr>
      <w:t>Krazati</w:t>
    </w:r>
    <w:r w:rsidR="00CC243A">
      <w:rPr>
        <w:rFonts w:cs="Arial"/>
        <w:noProof/>
        <w:snapToGrid w:val="0"/>
        <w:color w:val="000000"/>
        <w:sz w:val="16"/>
        <w:szCs w:val="16"/>
      </w:rPr>
      <w:t xml:space="preserve"> SGM 5699-A</w:t>
    </w:r>
    <w:r w:rsidR="00CC243A" w:rsidRPr="00CC243A">
      <w:rPr>
        <w:rFonts w:cs="Arial"/>
        <w:noProof/>
        <w:sz w:val="16"/>
        <w:szCs w:val="16"/>
      </w:rPr>
      <w:t xml:space="preserve"> P2024</w:t>
    </w:r>
    <w:r w:rsidR="00CC243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43DEBA8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3E8C51C" w:rsidR="00F75C81" w:rsidRPr="00AA1E6A" w:rsidRDefault="00C36B72" w:rsidP="00CC243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2A29F9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AC2EDD">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E47E76" w:rsidRPr="00E47E76">
      <w:rPr>
        <w:rFonts w:cs="Arial"/>
        <w:noProof/>
        <w:sz w:val="16"/>
        <w:szCs w:val="16"/>
        <w:lang w:val="it-IT"/>
      </w:rPr>
      <w:t>Krazati</w:t>
    </w:r>
    <w:r w:rsidR="00E47E76">
      <w:rPr>
        <w:rFonts w:cs="Arial"/>
        <w:noProof/>
        <w:snapToGrid w:val="0"/>
        <w:color w:val="000000"/>
        <w:sz w:val="16"/>
        <w:szCs w:val="16"/>
        <w:lang w:val="it-IT"/>
      </w:rPr>
      <w:t xml:space="preserve"> SGM 5699-A</w:t>
    </w:r>
    <w:r w:rsidR="00E47E76" w:rsidRPr="00E47E76">
      <w:rPr>
        <w:rFonts w:cs="Arial"/>
        <w:noProof/>
        <w:sz w:val="16"/>
        <w:szCs w:val="16"/>
        <w:lang w:val="it-IT"/>
      </w:rPr>
      <w:t xml:space="preserve"> P2024</w:t>
    </w:r>
    <w:r w:rsidR="00E47E76">
      <w:rPr>
        <w:rFonts w:cs="Arial"/>
        <w:noProof/>
        <w:snapToGrid w:val="0"/>
        <w:color w:val="000000"/>
        <w:sz w:val="16"/>
        <w:szCs w:val="16"/>
        <w:lang w:val="it-IT"/>
      </w:rPr>
      <w:t>_R.docx</w:t>
    </w:r>
    <w:r w:rsidRPr="00EC47B6">
      <w:rPr>
        <w:rFonts w:cs="Arial"/>
        <w:noProof/>
        <w:sz w:val="16"/>
        <w:szCs w:val="16"/>
      </w:rPr>
      <w:fldChar w:fldCharType="end"/>
    </w:r>
    <w:r w:rsidRPr="00AC2EDD">
      <w:rPr>
        <w:rFonts w:cs="Arial"/>
        <w:snapToGrid w:val="0"/>
        <w:color w:val="000000"/>
        <w:sz w:val="16"/>
        <w:lang w:val="it-IT"/>
      </w:rPr>
      <w:tab/>
      <w:t>© 202</w:t>
    </w:r>
    <w:r w:rsidR="00D74279" w:rsidRPr="00AC2EDD">
      <w:rPr>
        <w:rFonts w:cs="Arial"/>
        <w:snapToGrid w:val="0"/>
        <w:color w:val="000000"/>
        <w:sz w:val="16"/>
        <w:lang w:val="it-IT"/>
      </w:rPr>
      <w:t>4</w:t>
    </w:r>
    <w:r w:rsidRPr="00AC2EDD">
      <w:rPr>
        <w:rFonts w:cs="Arial"/>
        <w:snapToGrid w:val="0"/>
        <w:color w:val="000000"/>
        <w:sz w:val="16"/>
        <w:lang w:val="it-IT"/>
      </w:rPr>
      <w:t xml:space="preserve"> CVS Caremark. </w:t>
    </w:r>
    <w:r w:rsidRPr="00EC47B6">
      <w:rPr>
        <w:rFonts w:cs="Arial"/>
        <w:snapToGrid w:val="0"/>
        <w:color w:val="000000"/>
        <w:sz w:val="16"/>
      </w:rPr>
      <w:t>All rights reserved.</w:t>
    </w:r>
  </w:p>
  <w:p w14:paraId="39BFE579" w14:textId="245AEAC8"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BE9E29C" w:rsidR="00ED04EC" w:rsidRPr="00F50D98" w:rsidRDefault="00F50D98" w:rsidP="00FD1A6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EB697" w14:textId="77777777" w:rsidR="001B5798" w:rsidRDefault="001B5798">
      <w:r>
        <w:separator/>
      </w:r>
    </w:p>
  </w:footnote>
  <w:footnote w:type="continuationSeparator" w:id="0">
    <w:p w14:paraId="644F3E09" w14:textId="77777777" w:rsidR="001B5798" w:rsidRDefault="001B5798">
      <w:r>
        <w:continuationSeparator/>
      </w:r>
    </w:p>
  </w:footnote>
  <w:footnote w:type="continuationNotice" w:id="1">
    <w:p w14:paraId="155818D5" w14:textId="77777777" w:rsidR="001B5798" w:rsidRDefault="001B57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527D7B" w14:paraId="16262E63" w14:textId="77777777">
      <w:trPr>
        <w:trHeight w:val="144"/>
        <w:jc w:val="right"/>
      </w:trPr>
      <w:tc>
        <w:tcPr>
          <w:tcW w:w="1854" w:type="dxa"/>
          <w:hideMark/>
        </w:tcPr>
        <w:p w14:paraId="18F550B7" w14:textId="77777777" w:rsidR="00ED04EC" w:rsidRPr="00527D7B" w:rsidRDefault="00ED04EC" w:rsidP="00527D7B">
          <w:pPr>
            <w:pStyle w:val="RefTableData"/>
          </w:pPr>
          <w:r w:rsidRPr="00527D7B">
            <w:t>Reference number(s)</w:t>
          </w:r>
        </w:p>
      </w:tc>
    </w:tr>
    <w:tr w:rsidR="00ED04EC" w:rsidRPr="00527D7B" w14:paraId="703C6588" w14:textId="77777777">
      <w:trPr>
        <w:trHeight w:val="378"/>
        <w:jc w:val="right"/>
      </w:trPr>
      <w:tc>
        <w:tcPr>
          <w:tcW w:w="1854" w:type="dxa"/>
          <w:hideMark/>
        </w:tcPr>
        <w:p w14:paraId="51CE3E64" w14:textId="187CF3F7" w:rsidR="00ED04EC" w:rsidRPr="00527D7B" w:rsidRDefault="00074E45" w:rsidP="00527D7B">
          <w:pPr>
            <w:pStyle w:val="RefTableData"/>
          </w:pPr>
          <w:r w:rsidRPr="00527D7B">
            <w:t>5699-A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2A3618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5620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D9360E3"/>
    <w:multiLevelType w:val="hybridMultilevel"/>
    <w:tmpl w:val="625254F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D184DB5"/>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ED303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6280636"/>
    <w:multiLevelType w:val="hybridMultilevel"/>
    <w:tmpl w:val="79C29908"/>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E1B0C404">
      <w:start w:val="1"/>
      <w:numFmt w:val="lowerRoman"/>
      <w:lvlText w:val="%5."/>
      <w:lvlJc w:val="left"/>
      <w:pPr>
        <w:ind w:left="1800" w:hanging="360"/>
      </w:pPr>
      <w:rPr>
        <w:rFonts w:hint="default"/>
      </w:rPr>
    </w:lvl>
    <w:lvl w:ilvl="5" w:tplc="04090019">
      <w:start w:val="1"/>
      <w:numFmt w:val="lowerLetter"/>
      <w:lvlText w:val="%6."/>
      <w:lvlJc w:val="left"/>
      <w:pPr>
        <w:ind w:left="216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770824"/>
    <w:multiLevelType w:val="hybridMultilevel"/>
    <w:tmpl w:val="4A8C6B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E5089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A84DB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263507"/>
    <w:multiLevelType w:val="hybridMultilevel"/>
    <w:tmpl w:val="39943A3A"/>
    <w:lvl w:ilvl="0" w:tplc="FFFFFFFF">
      <w:start w:val="1"/>
      <w:numFmt w:val="decimal"/>
      <w:lvlText w:val="%1."/>
      <w:lvlJc w:val="left"/>
      <w:pPr>
        <w:ind w:left="1440" w:hanging="360"/>
      </w:pPr>
      <w:rPr>
        <w:rFonts w:ascii="Arial" w:eastAsia="Times New Roman" w:hAnsi="Arial" w:cs="Arial"/>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563824"/>
    <w:multiLevelType w:val="hybridMultilevel"/>
    <w:tmpl w:val="D72C59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33"/>
  </w:num>
  <w:num w:numId="3" w16cid:durableId="611589570">
    <w:abstractNumId w:val="2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2"/>
  </w:num>
  <w:num w:numId="16" w16cid:durableId="898320195">
    <w:abstractNumId w:val="23"/>
  </w:num>
  <w:num w:numId="17" w16cid:durableId="2128498676">
    <w:abstractNumId w:val="37"/>
  </w:num>
  <w:num w:numId="18" w16cid:durableId="299724409">
    <w:abstractNumId w:val="28"/>
  </w:num>
  <w:num w:numId="19" w16cid:durableId="214585573">
    <w:abstractNumId w:val="17"/>
  </w:num>
  <w:num w:numId="20" w16cid:durableId="1289816170">
    <w:abstractNumId w:val="19"/>
  </w:num>
  <w:num w:numId="21" w16cid:durableId="1066490929">
    <w:abstractNumId w:val="38"/>
  </w:num>
  <w:num w:numId="22" w16cid:durableId="1472481103">
    <w:abstractNumId w:val="31"/>
  </w:num>
  <w:num w:numId="23" w16cid:durableId="1997420403">
    <w:abstractNumId w:val="35"/>
  </w:num>
  <w:num w:numId="24" w16cid:durableId="33312838">
    <w:abstractNumId w:val="29"/>
  </w:num>
  <w:num w:numId="25" w16cid:durableId="507404939">
    <w:abstractNumId w:val="22"/>
  </w:num>
  <w:num w:numId="26" w16cid:durableId="1950313333">
    <w:abstractNumId w:val="25"/>
  </w:num>
  <w:num w:numId="27" w16cid:durableId="1866016584">
    <w:abstractNumId w:val="24"/>
  </w:num>
  <w:num w:numId="28" w16cid:durableId="523516537">
    <w:abstractNumId w:val="36"/>
  </w:num>
  <w:num w:numId="29" w16cid:durableId="299116200">
    <w:abstractNumId w:val="14"/>
  </w:num>
  <w:num w:numId="30" w16cid:durableId="532576612">
    <w:abstractNumId w:val="21"/>
  </w:num>
  <w:num w:numId="31" w16cid:durableId="10457872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32080685">
    <w:abstractNumId w:val="26"/>
  </w:num>
  <w:num w:numId="33" w16cid:durableId="1899520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7219481">
    <w:abstractNumId w:val="10"/>
  </w:num>
  <w:num w:numId="35" w16cid:durableId="987366043">
    <w:abstractNumId w:val="13"/>
  </w:num>
  <w:num w:numId="36" w16cid:durableId="1547912756">
    <w:abstractNumId w:val="18"/>
  </w:num>
  <w:num w:numId="37" w16cid:durableId="1211334084">
    <w:abstractNumId w:val="20"/>
  </w:num>
  <w:num w:numId="38" w16cid:durableId="2025133975">
    <w:abstractNumId w:val="11"/>
  </w:num>
  <w:num w:numId="39" w16cid:durableId="1362900185">
    <w:abstractNumId w:val="32"/>
  </w:num>
  <w:num w:numId="40" w16cid:durableId="93940821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149"/>
    <w:rsid w:val="00015ABC"/>
    <w:rsid w:val="00016A2E"/>
    <w:rsid w:val="00017860"/>
    <w:rsid w:val="00017EE8"/>
    <w:rsid w:val="000200D2"/>
    <w:rsid w:val="000203D2"/>
    <w:rsid w:val="00020F76"/>
    <w:rsid w:val="0002111C"/>
    <w:rsid w:val="00021A0A"/>
    <w:rsid w:val="00021C51"/>
    <w:rsid w:val="00021F62"/>
    <w:rsid w:val="0002212A"/>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4E45"/>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2EB7"/>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406"/>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5798"/>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776"/>
    <w:rsid w:val="001D595E"/>
    <w:rsid w:val="001D5AA2"/>
    <w:rsid w:val="001D694B"/>
    <w:rsid w:val="001E0D36"/>
    <w:rsid w:val="001E2634"/>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5F14"/>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46F"/>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533"/>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1EB"/>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7B"/>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EE8"/>
    <w:rsid w:val="00542E88"/>
    <w:rsid w:val="005444CF"/>
    <w:rsid w:val="00544C01"/>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132"/>
    <w:rsid w:val="00596960"/>
    <w:rsid w:val="005970A9"/>
    <w:rsid w:val="00597579"/>
    <w:rsid w:val="00597823"/>
    <w:rsid w:val="00597BF2"/>
    <w:rsid w:val="005A015C"/>
    <w:rsid w:val="005A04AA"/>
    <w:rsid w:val="005A09BB"/>
    <w:rsid w:val="005A0E43"/>
    <w:rsid w:val="005A234B"/>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B5AB4"/>
    <w:rsid w:val="005C026B"/>
    <w:rsid w:val="005C0790"/>
    <w:rsid w:val="005C194C"/>
    <w:rsid w:val="005C2667"/>
    <w:rsid w:val="005C295A"/>
    <w:rsid w:val="005C2C21"/>
    <w:rsid w:val="005C3B4F"/>
    <w:rsid w:val="005C44D1"/>
    <w:rsid w:val="005C4915"/>
    <w:rsid w:val="005C52A6"/>
    <w:rsid w:val="005C6812"/>
    <w:rsid w:val="005C6D2C"/>
    <w:rsid w:val="005C70B5"/>
    <w:rsid w:val="005C778C"/>
    <w:rsid w:val="005C7E7D"/>
    <w:rsid w:val="005D0CD7"/>
    <w:rsid w:val="005D0ED8"/>
    <w:rsid w:val="005D14DC"/>
    <w:rsid w:val="005D154E"/>
    <w:rsid w:val="005D1B57"/>
    <w:rsid w:val="005D2C56"/>
    <w:rsid w:val="005D2E4C"/>
    <w:rsid w:val="005D358A"/>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9DE"/>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1F2E"/>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FA2"/>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3C8"/>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C8A"/>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1ED2"/>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157"/>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EDD"/>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3CF3"/>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0679B"/>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5A7"/>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43A"/>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AD6"/>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09CA"/>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789"/>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47E76"/>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34D"/>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61B"/>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65F"/>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9E3"/>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65"/>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C39860-BE29-4782-B1F4-B3E95DAF4378}"/>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Krazati SGM 5699-A 2024</vt:lpstr>
    </vt:vector>
  </TitlesOfParts>
  <Company>PCS Health Systems</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Krazati SGM 5699-A 2024</dc:title>
  <dc:subject/>
  <dc:creator>CVS Caremark</dc:creator>
  <cp:keywords/>
  <cp:lastModifiedBy>Huerta, Linda M</cp:lastModifiedBy>
  <cp:revision>7</cp:revision>
  <cp:lastPrinted>2018-01-09T11:01:00Z</cp:lastPrinted>
  <dcterms:created xsi:type="dcterms:W3CDTF">2024-10-22T21:09:00Z</dcterms:created>
  <dcterms:modified xsi:type="dcterms:W3CDTF">2024-11-14T00:11:00Z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1764500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